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0AB72CA" w:rsidR="00CA49B0" w:rsidRPr="00A63AC3" w:rsidRDefault="00D9324E" w:rsidP="000B5FFD">
      <w:pPr>
        <w:pStyle w:val="NoSpacing"/>
        <w:ind w:left="2160" w:firstLine="720"/>
        <w:rPr>
          <w:b/>
          <w:sz w:val="28"/>
          <w:szCs w:val="28"/>
        </w:rPr>
      </w:pPr>
      <w:r w:rsidRPr="00A63AC3">
        <w:rPr>
          <w:b/>
          <w:sz w:val="28"/>
          <w:szCs w:val="28"/>
        </w:rPr>
        <w:t xml:space="preserve">Advocacy Digest | </w:t>
      </w:r>
      <w:r w:rsidR="00241066">
        <w:rPr>
          <w:b/>
          <w:sz w:val="28"/>
          <w:szCs w:val="28"/>
        </w:rPr>
        <w:t xml:space="preserve">January </w:t>
      </w:r>
      <w:r w:rsidR="0056632D">
        <w:rPr>
          <w:b/>
          <w:sz w:val="28"/>
          <w:szCs w:val="28"/>
        </w:rPr>
        <w:t>2</w:t>
      </w:r>
      <w:r w:rsidR="00241066">
        <w:rPr>
          <w:b/>
          <w:sz w:val="28"/>
          <w:szCs w:val="28"/>
        </w:rPr>
        <w:t>4</w:t>
      </w:r>
      <w:r w:rsidR="00E76AED">
        <w:rPr>
          <w:b/>
          <w:sz w:val="28"/>
          <w:szCs w:val="28"/>
        </w:rPr>
        <w:t>, 202</w:t>
      </w:r>
      <w:r w:rsidR="00515147">
        <w:rPr>
          <w:b/>
          <w:sz w:val="28"/>
          <w:szCs w:val="28"/>
        </w:rPr>
        <w:t>2</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77EFC429" w14:textId="5B1B4BC3" w:rsidR="00241066" w:rsidRDefault="0041216E" w:rsidP="00241066">
      <w:pPr>
        <w:pStyle w:val="NoSpacing"/>
        <w:rPr>
          <w:rStyle w:val="Strong"/>
          <w:rFonts w:cs="Arial"/>
        </w:rPr>
      </w:pPr>
      <w:r>
        <w:rPr>
          <w:rStyle w:val="Strong"/>
          <w:rFonts w:cs="Arial"/>
        </w:rPr>
        <w:t xml:space="preserve">Advocacy Group </w:t>
      </w:r>
      <w:r w:rsidR="000B2C8B">
        <w:rPr>
          <w:rStyle w:val="Strong"/>
          <w:rFonts w:cs="Arial"/>
        </w:rPr>
        <w:t>G</w:t>
      </w:r>
      <w:r>
        <w:rPr>
          <w:rStyle w:val="Strong"/>
          <w:rFonts w:cs="Arial"/>
        </w:rPr>
        <w:t xml:space="preserve">ets </w:t>
      </w:r>
      <w:r w:rsidR="000B2C8B">
        <w:rPr>
          <w:rStyle w:val="Strong"/>
          <w:rFonts w:cs="Arial"/>
        </w:rPr>
        <w:t>B</w:t>
      </w:r>
      <w:r>
        <w:rPr>
          <w:rStyle w:val="Strong"/>
          <w:rFonts w:cs="Arial"/>
        </w:rPr>
        <w:t xml:space="preserve">riefing on </w:t>
      </w:r>
      <w:r w:rsidR="000B2C8B">
        <w:rPr>
          <w:rStyle w:val="Strong"/>
          <w:rFonts w:cs="Arial"/>
        </w:rPr>
        <w:t>P</w:t>
      </w:r>
      <w:r>
        <w:rPr>
          <w:rStyle w:val="Strong"/>
          <w:rFonts w:cs="Arial"/>
        </w:rPr>
        <w:t xml:space="preserve">ossible </w:t>
      </w:r>
      <w:r w:rsidR="000B2C8B">
        <w:rPr>
          <w:rStyle w:val="Strong"/>
          <w:rFonts w:cs="Arial"/>
        </w:rPr>
        <w:t>H</w:t>
      </w:r>
      <w:r>
        <w:rPr>
          <w:rStyle w:val="Strong"/>
          <w:rFonts w:cs="Arial"/>
        </w:rPr>
        <w:t xml:space="preserve">ousing </w:t>
      </w:r>
      <w:r w:rsidR="000B2C8B">
        <w:rPr>
          <w:rStyle w:val="Strong"/>
          <w:rFonts w:cs="Arial"/>
        </w:rPr>
        <w:t>P</w:t>
      </w:r>
      <w:r>
        <w:rPr>
          <w:rStyle w:val="Strong"/>
          <w:rFonts w:cs="Arial"/>
        </w:rPr>
        <w:t xml:space="preserve">ackage </w:t>
      </w:r>
    </w:p>
    <w:p w14:paraId="2D1A9305" w14:textId="41365C52" w:rsidR="0041216E" w:rsidRDefault="0041216E" w:rsidP="00241066">
      <w:pPr>
        <w:pStyle w:val="NoSpacing"/>
        <w:rPr>
          <w:rStyle w:val="Strong"/>
          <w:rFonts w:cs="Arial"/>
          <w:b w:val="0"/>
          <w:bCs w:val="0"/>
        </w:rPr>
      </w:pPr>
      <w:r>
        <w:rPr>
          <w:rStyle w:val="Strong"/>
          <w:rFonts w:cs="Arial"/>
          <w:b w:val="0"/>
          <w:bCs w:val="0"/>
        </w:rPr>
        <w:t>During the most recent meeting of the WBA Advocacy Group</w:t>
      </w:r>
      <w:r w:rsidR="000B2C8B">
        <w:rPr>
          <w:rStyle w:val="Strong"/>
          <w:rFonts w:cs="Arial"/>
          <w:b w:val="0"/>
          <w:bCs w:val="0"/>
        </w:rPr>
        <w:t>,</w:t>
      </w:r>
      <w:r>
        <w:rPr>
          <w:rStyle w:val="Strong"/>
          <w:rFonts w:cs="Arial"/>
          <w:b w:val="0"/>
          <w:bCs w:val="0"/>
        </w:rPr>
        <w:t xml:space="preserve"> those in attendance were briefed on a package of policy items that are under consideration for introduc</w:t>
      </w:r>
      <w:r w:rsidR="007B30C3">
        <w:rPr>
          <w:rStyle w:val="Strong"/>
          <w:rFonts w:cs="Arial"/>
          <w:b w:val="0"/>
          <w:bCs w:val="0"/>
        </w:rPr>
        <w:t>tion</w:t>
      </w:r>
      <w:r>
        <w:rPr>
          <w:rStyle w:val="Strong"/>
          <w:rFonts w:cs="Arial"/>
          <w:b w:val="0"/>
          <w:bCs w:val="0"/>
        </w:rPr>
        <w:t xml:space="preserve"> this legislative session. The package is a result of several meetings over the summer and fall of 2022 with a diverse group of interested parties that included WBA.</w:t>
      </w:r>
    </w:p>
    <w:p w14:paraId="2A434D3A" w14:textId="72F66423" w:rsidR="0041216E" w:rsidRDefault="0041216E" w:rsidP="00241066">
      <w:pPr>
        <w:pStyle w:val="NoSpacing"/>
        <w:rPr>
          <w:rStyle w:val="Strong"/>
          <w:rFonts w:cs="Arial"/>
          <w:b w:val="0"/>
          <w:bCs w:val="0"/>
        </w:rPr>
      </w:pPr>
    </w:p>
    <w:p w14:paraId="716C8A26" w14:textId="68E66F62" w:rsidR="0041216E" w:rsidRDefault="0041216E" w:rsidP="00241066">
      <w:pPr>
        <w:pStyle w:val="NoSpacing"/>
        <w:rPr>
          <w:rStyle w:val="Strong"/>
          <w:rFonts w:cs="Arial"/>
          <w:b w:val="0"/>
          <w:bCs w:val="0"/>
        </w:rPr>
      </w:pPr>
      <w:r>
        <w:rPr>
          <w:rStyle w:val="Strong"/>
          <w:rFonts w:cs="Arial"/>
          <w:b w:val="0"/>
          <w:bCs w:val="0"/>
        </w:rPr>
        <w:t>Some of the items currently being discussed include:</w:t>
      </w:r>
    </w:p>
    <w:p w14:paraId="6B4BFE28" w14:textId="33AC5CF9" w:rsidR="0041216E" w:rsidRPr="0041216E" w:rsidRDefault="007B30C3" w:rsidP="0041216E">
      <w:pPr>
        <w:pStyle w:val="NoSpacing"/>
        <w:numPr>
          <w:ilvl w:val="0"/>
          <w:numId w:val="31"/>
        </w:numPr>
        <w:rPr>
          <w:rFonts w:cs="Arial"/>
          <w:szCs w:val="24"/>
        </w:rPr>
      </w:pPr>
      <w:r>
        <w:rPr>
          <w:szCs w:val="24"/>
        </w:rPr>
        <w:t>S</w:t>
      </w:r>
      <w:r w:rsidR="0041216E" w:rsidRPr="0041216E">
        <w:rPr>
          <w:szCs w:val="24"/>
        </w:rPr>
        <w:t xml:space="preserve">tate loan </w:t>
      </w:r>
      <w:r w:rsidR="00297E11" w:rsidRPr="0041216E">
        <w:rPr>
          <w:szCs w:val="24"/>
        </w:rPr>
        <w:t>funds</w:t>
      </w:r>
      <w:r w:rsidR="0041216E" w:rsidRPr="0041216E">
        <w:rPr>
          <w:szCs w:val="24"/>
        </w:rPr>
        <w:t xml:space="preserve"> to be used by municipalities for zero or low interest loans for developers to pay for infrastructure. Modeled after a bill introduced in Indiana.</w:t>
      </w:r>
    </w:p>
    <w:p w14:paraId="18B4444B" w14:textId="767791F2" w:rsidR="0041216E" w:rsidRPr="0041216E" w:rsidRDefault="0041216E" w:rsidP="0041216E">
      <w:pPr>
        <w:pStyle w:val="NoSpacing"/>
        <w:numPr>
          <w:ilvl w:val="0"/>
          <w:numId w:val="31"/>
        </w:numPr>
        <w:rPr>
          <w:szCs w:val="24"/>
        </w:rPr>
      </w:pPr>
      <w:r w:rsidRPr="0041216E">
        <w:rPr>
          <w:szCs w:val="24"/>
        </w:rPr>
        <w:t>Revolving loan program for municipalities to administer</w:t>
      </w:r>
      <w:r w:rsidR="00297E11">
        <w:rPr>
          <w:szCs w:val="24"/>
        </w:rPr>
        <w:t>,</w:t>
      </w:r>
      <w:r w:rsidRPr="0041216E">
        <w:rPr>
          <w:szCs w:val="24"/>
        </w:rPr>
        <w:t xml:space="preserve"> to redevelop older housing units in downtown areas in smaller communities (second floor residential above first floor retail) </w:t>
      </w:r>
    </w:p>
    <w:p w14:paraId="56ACC039" w14:textId="2A66ECB6" w:rsidR="0041216E" w:rsidRPr="0041216E" w:rsidRDefault="0041216E" w:rsidP="0041216E">
      <w:pPr>
        <w:pStyle w:val="NoSpacing"/>
        <w:numPr>
          <w:ilvl w:val="0"/>
          <w:numId w:val="31"/>
        </w:numPr>
        <w:rPr>
          <w:szCs w:val="24"/>
        </w:rPr>
      </w:pPr>
      <w:r w:rsidRPr="0041216E">
        <w:rPr>
          <w:szCs w:val="24"/>
        </w:rPr>
        <w:t>Revolving loan program for the redevelopment of current vacant commercial property (</w:t>
      </w:r>
      <w:r>
        <w:rPr>
          <w:szCs w:val="24"/>
        </w:rPr>
        <w:t>o</w:t>
      </w:r>
      <w:r w:rsidRPr="0041216E">
        <w:rPr>
          <w:szCs w:val="24"/>
        </w:rPr>
        <w:t>ld Shopko stores, vacant malls, and vacant office space</w:t>
      </w:r>
      <w:r w:rsidR="00297E11">
        <w:rPr>
          <w:szCs w:val="24"/>
        </w:rPr>
        <w:t>, etc.</w:t>
      </w:r>
      <w:r w:rsidRPr="0041216E">
        <w:rPr>
          <w:szCs w:val="24"/>
        </w:rPr>
        <w:t xml:space="preserve">) to be used for single family and multifamily housing </w:t>
      </w:r>
    </w:p>
    <w:p w14:paraId="3C57266B" w14:textId="77777777" w:rsidR="0041216E" w:rsidRPr="0041216E" w:rsidRDefault="0041216E" w:rsidP="0041216E">
      <w:pPr>
        <w:pStyle w:val="NoSpacing"/>
        <w:numPr>
          <w:ilvl w:val="0"/>
          <w:numId w:val="31"/>
        </w:numPr>
        <w:rPr>
          <w:szCs w:val="24"/>
        </w:rPr>
      </w:pPr>
      <w:r w:rsidRPr="0041216E">
        <w:rPr>
          <w:szCs w:val="24"/>
        </w:rPr>
        <w:t xml:space="preserve">Funding the workforce housing remodeling bill that was passed last session with no </w:t>
      </w:r>
      <w:proofErr w:type="gramStart"/>
      <w:r w:rsidRPr="0041216E">
        <w:rPr>
          <w:szCs w:val="24"/>
        </w:rPr>
        <w:t>funding</w:t>
      </w:r>
      <w:proofErr w:type="gramEnd"/>
    </w:p>
    <w:p w14:paraId="7669BD4C" w14:textId="77777777" w:rsidR="0041216E" w:rsidRPr="0041216E" w:rsidRDefault="0041216E" w:rsidP="0041216E">
      <w:pPr>
        <w:pStyle w:val="NoSpacing"/>
        <w:numPr>
          <w:ilvl w:val="0"/>
          <w:numId w:val="31"/>
        </w:numPr>
        <w:rPr>
          <w:szCs w:val="24"/>
        </w:rPr>
      </w:pPr>
      <w:r w:rsidRPr="0041216E">
        <w:rPr>
          <w:szCs w:val="24"/>
        </w:rPr>
        <w:t>Fund WEDC’s ability to list “workforce housing shovel ready sites” (bill vetoed last session because of lack of a funding source)</w:t>
      </w:r>
    </w:p>
    <w:p w14:paraId="518FF210" w14:textId="46A8CF51" w:rsidR="0041216E" w:rsidRPr="0041216E" w:rsidRDefault="0041216E" w:rsidP="0041216E">
      <w:pPr>
        <w:pStyle w:val="NoSpacing"/>
        <w:numPr>
          <w:ilvl w:val="0"/>
          <w:numId w:val="31"/>
        </w:numPr>
        <w:rPr>
          <w:szCs w:val="24"/>
        </w:rPr>
      </w:pPr>
      <w:r w:rsidRPr="0041216E">
        <w:rPr>
          <w:szCs w:val="24"/>
        </w:rPr>
        <w:t>Eliminate a count</w:t>
      </w:r>
      <w:r w:rsidR="00297E11">
        <w:rPr>
          <w:szCs w:val="24"/>
        </w:rPr>
        <w:t>y’s</w:t>
      </w:r>
      <w:r w:rsidRPr="0041216E">
        <w:rPr>
          <w:szCs w:val="24"/>
        </w:rPr>
        <w:t xml:space="preserve"> ability to require a supermajority for a zoning change and eliminate any municipality from being able to enforce a supermajority for a zoning </w:t>
      </w:r>
      <w:proofErr w:type="gramStart"/>
      <w:r w:rsidRPr="0041216E">
        <w:rPr>
          <w:szCs w:val="24"/>
        </w:rPr>
        <w:t>change</w:t>
      </w:r>
      <w:proofErr w:type="gramEnd"/>
    </w:p>
    <w:p w14:paraId="1A46278E" w14:textId="55261F54" w:rsidR="0041216E" w:rsidRPr="0041216E" w:rsidRDefault="0041216E" w:rsidP="0041216E">
      <w:pPr>
        <w:pStyle w:val="NoSpacing"/>
        <w:numPr>
          <w:ilvl w:val="0"/>
          <w:numId w:val="31"/>
        </w:numPr>
        <w:rPr>
          <w:szCs w:val="24"/>
        </w:rPr>
      </w:pPr>
      <w:r w:rsidRPr="0041216E">
        <w:rPr>
          <w:szCs w:val="24"/>
        </w:rPr>
        <w:t xml:space="preserve">If a subdivision complies with municipalities zoning </w:t>
      </w:r>
      <w:r w:rsidRPr="0041216E">
        <w:rPr>
          <w:szCs w:val="24"/>
          <w:u w:val="single"/>
        </w:rPr>
        <w:t>and</w:t>
      </w:r>
      <w:r w:rsidRPr="0041216E">
        <w:rPr>
          <w:szCs w:val="24"/>
        </w:rPr>
        <w:t xml:space="preserve"> the comprehensive plan</w:t>
      </w:r>
      <w:r w:rsidR="00297E11">
        <w:rPr>
          <w:szCs w:val="24"/>
        </w:rPr>
        <w:t>,</w:t>
      </w:r>
      <w:r w:rsidRPr="0041216E">
        <w:rPr>
          <w:szCs w:val="24"/>
        </w:rPr>
        <w:t xml:space="preserve"> it cannot be denied unless “the project would have an adverse impact on public health or safety that is significant, quantifiable, director, and </w:t>
      </w:r>
      <w:proofErr w:type="gramStart"/>
      <w:r w:rsidRPr="0041216E">
        <w:rPr>
          <w:szCs w:val="24"/>
        </w:rPr>
        <w:t>unavoidable</w:t>
      </w:r>
      <w:proofErr w:type="gramEnd"/>
      <w:r w:rsidRPr="0041216E">
        <w:rPr>
          <w:szCs w:val="24"/>
        </w:rPr>
        <w:t>”</w:t>
      </w:r>
    </w:p>
    <w:p w14:paraId="106840F7" w14:textId="77777777" w:rsidR="0041216E" w:rsidRPr="0041216E" w:rsidRDefault="0041216E" w:rsidP="0041216E">
      <w:pPr>
        <w:pStyle w:val="NoSpacing"/>
        <w:numPr>
          <w:ilvl w:val="0"/>
          <w:numId w:val="31"/>
        </w:numPr>
        <w:rPr>
          <w:szCs w:val="24"/>
        </w:rPr>
      </w:pPr>
      <w:r w:rsidRPr="0041216E">
        <w:rPr>
          <w:szCs w:val="24"/>
        </w:rPr>
        <w:t xml:space="preserve">Make it more difficult to legally challenge a subdivision in court after it is </w:t>
      </w:r>
      <w:proofErr w:type="gramStart"/>
      <w:r w:rsidRPr="0041216E">
        <w:rPr>
          <w:szCs w:val="24"/>
        </w:rPr>
        <w:t>approved</w:t>
      </w:r>
      <w:proofErr w:type="gramEnd"/>
    </w:p>
    <w:p w14:paraId="022D236A" w14:textId="7306F346" w:rsidR="0041216E" w:rsidRDefault="0041216E" w:rsidP="0041216E">
      <w:pPr>
        <w:pStyle w:val="NoSpacing"/>
        <w:rPr>
          <w:rStyle w:val="Strong"/>
          <w:rFonts w:cs="Arial"/>
          <w:b w:val="0"/>
          <w:bCs w:val="0"/>
        </w:rPr>
      </w:pPr>
    </w:p>
    <w:p w14:paraId="6CAFB558" w14:textId="328CCF9B" w:rsidR="0041216E" w:rsidRPr="0041216E" w:rsidRDefault="0041216E" w:rsidP="0041216E">
      <w:pPr>
        <w:pStyle w:val="NoSpacing"/>
        <w:rPr>
          <w:rStyle w:val="Strong"/>
          <w:rFonts w:cs="Arial"/>
          <w:b w:val="0"/>
          <w:bCs w:val="0"/>
        </w:rPr>
      </w:pPr>
      <w:r>
        <w:rPr>
          <w:rStyle w:val="Strong"/>
          <w:rFonts w:cs="Arial"/>
          <w:b w:val="0"/>
          <w:bCs w:val="0"/>
        </w:rPr>
        <w:t>The Advocacy Group reacted positively to the above-mentioned policies. The legislative session has just started</w:t>
      </w:r>
      <w:r w:rsidR="00297E11">
        <w:rPr>
          <w:rStyle w:val="Strong"/>
          <w:rFonts w:cs="Arial"/>
          <w:b w:val="0"/>
          <w:bCs w:val="0"/>
        </w:rPr>
        <w:t>,</w:t>
      </w:r>
      <w:r>
        <w:rPr>
          <w:rStyle w:val="Strong"/>
          <w:rFonts w:cs="Arial"/>
          <w:b w:val="0"/>
          <w:bCs w:val="0"/>
        </w:rPr>
        <w:t xml:space="preserve"> and we will continue to update the WBA membership on these and any additional items that may be included in a comprehensive housing package in 2023. </w:t>
      </w:r>
    </w:p>
    <w:p w14:paraId="2B93CF71" w14:textId="77777777" w:rsidR="00241066" w:rsidRDefault="00241066" w:rsidP="00241066">
      <w:pPr>
        <w:pStyle w:val="NoSpacing"/>
        <w:rPr>
          <w:rStyle w:val="Strong"/>
          <w:rFonts w:cs="Arial"/>
        </w:rPr>
      </w:pPr>
    </w:p>
    <w:p w14:paraId="1A6D2584" w14:textId="171EA15B" w:rsidR="00241066" w:rsidRPr="00241066" w:rsidRDefault="00241066" w:rsidP="00241066">
      <w:pPr>
        <w:pStyle w:val="NoSpacing"/>
        <w:rPr>
          <w:rStyle w:val="Strong"/>
          <w:rFonts w:cs="Arial"/>
        </w:rPr>
      </w:pPr>
      <w:r w:rsidRPr="00241066">
        <w:rPr>
          <w:rStyle w:val="Strong"/>
          <w:rFonts w:cs="Arial"/>
        </w:rPr>
        <w:t xml:space="preserve">2022 Ends </w:t>
      </w:r>
      <w:proofErr w:type="gramStart"/>
      <w:r w:rsidR="0041216E">
        <w:rPr>
          <w:rStyle w:val="Strong"/>
          <w:rFonts w:cs="Arial"/>
        </w:rPr>
        <w:t>With</w:t>
      </w:r>
      <w:proofErr w:type="gramEnd"/>
      <w:r w:rsidR="0041216E">
        <w:rPr>
          <w:rStyle w:val="Strong"/>
          <w:rFonts w:cs="Arial"/>
        </w:rPr>
        <w:t xml:space="preserve"> </w:t>
      </w:r>
      <w:r w:rsidRPr="00241066">
        <w:rPr>
          <w:rStyle w:val="Strong"/>
          <w:rFonts w:cs="Arial"/>
        </w:rPr>
        <w:t>A Decline in Single-Family Starts For the First Time Since 2011</w:t>
      </w:r>
    </w:p>
    <w:p w14:paraId="7AF2A6BA" w14:textId="362E28BA" w:rsidR="00241066" w:rsidRPr="00241066" w:rsidRDefault="00241066" w:rsidP="00241066">
      <w:pPr>
        <w:pStyle w:val="NoSpacing"/>
        <w:rPr>
          <w:rStyle w:val="Strong"/>
          <w:rFonts w:cs="Arial"/>
        </w:rPr>
      </w:pPr>
      <w:r w:rsidRPr="00241066">
        <w:rPr>
          <w:rStyle w:val="Strong"/>
          <w:rFonts w:cs="Arial"/>
        </w:rPr>
        <w:t>BY Danushka Nanayakkara-Skillington of NAHB</w:t>
      </w:r>
    </w:p>
    <w:p w14:paraId="49F3192B" w14:textId="77777777" w:rsidR="00241066" w:rsidRPr="00241066" w:rsidRDefault="00241066" w:rsidP="00241066">
      <w:pPr>
        <w:pStyle w:val="NoSpacing"/>
        <w:rPr>
          <w:rStyle w:val="Strong"/>
          <w:rFonts w:cs="Arial"/>
          <w:b w:val="0"/>
          <w:bCs w:val="0"/>
        </w:rPr>
      </w:pPr>
      <w:r w:rsidRPr="00241066">
        <w:rPr>
          <w:rStyle w:val="Strong"/>
          <w:rFonts w:cs="Arial"/>
          <w:b w:val="0"/>
          <w:bCs w:val="0"/>
        </w:rPr>
        <w:t>Led by a decline in multifamily production, overall housing starts decreased 1.4% to a seasonally adjusted annual rate of 1.38 million units in December, according to data from the U.S. Department of Housing and Urban Development and the U.S. Census Bureau. Also of note, single-family housing starts ended the year down more than 10%, marking the first annual decline since 2011.</w:t>
      </w:r>
    </w:p>
    <w:p w14:paraId="0E195A2B" w14:textId="77777777" w:rsidR="00241066" w:rsidRPr="00241066" w:rsidRDefault="00241066" w:rsidP="00241066">
      <w:pPr>
        <w:pStyle w:val="NoSpacing"/>
        <w:rPr>
          <w:rStyle w:val="Strong"/>
          <w:rFonts w:cs="Arial"/>
          <w:b w:val="0"/>
          <w:bCs w:val="0"/>
        </w:rPr>
      </w:pPr>
    </w:p>
    <w:p w14:paraId="7DA4EB66" w14:textId="77777777" w:rsidR="00241066" w:rsidRPr="00241066" w:rsidRDefault="00241066" w:rsidP="00241066">
      <w:pPr>
        <w:pStyle w:val="NoSpacing"/>
        <w:rPr>
          <w:rStyle w:val="Strong"/>
          <w:rFonts w:cs="Arial"/>
          <w:b w:val="0"/>
          <w:bCs w:val="0"/>
        </w:rPr>
      </w:pPr>
      <w:r w:rsidRPr="00241066">
        <w:rPr>
          <w:rStyle w:val="Strong"/>
          <w:rFonts w:cs="Arial"/>
          <w:b w:val="0"/>
          <w:bCs w:val="0"/>
        </w:rPr>
        <w:t xml:space="preserve">The December reading of 1.38 million starts is the number of housing </w:t>
      </w:r>
      <w:proofErr w:type="gramStart"/>
      <w:r w:rsidRPr="00241066">
        <w:rPr>
          <w:rStyle w:val="Strong"/>
          <w:rFonts w:cs="Arial"/>
          <w:b w:val="0"/>
          <w:bCs w:val="0"/>
        </w:rPr>
        <w:t>units</w:t>
      </w:r>
      <w:proofErr w:type="gramEnd"/>
      <w:r w:rsidRPr="00241066">
        <w:rPr>
          <w:rStyle w:val="Strong"/>
          <w:rFonts w:cs="Arial"/>
          <w:b w:val="0"/>
          <w:bCs w:val="0"/>
        </w:rPr>
        <w:t xml:space="preserve"> builders would begin if development kept this pace for the next 12 months. Within this overall number, single-family starts increased 11.3% to a 909,000 seasonally adjusted annual rate. The three-month moving average (a useful gauge given recent volatility) inched up to 862,000 </w:t>
      </w:r>
      <w:proofErr w:type="gramStart"/>
      <w:r w:rsidRPr="00241066">
        <w:rPr>
          <w:rStyle w:val="Strong"/>
          <w:rFonts w:cs="Arial"/>
          <w:b w:val="0"/>
          <w:bCs w:val="0"/>
        </w:rPr>
        <w:t>starts</w:t>
      </w:r>
      <w:proofErr w:type="gramEnd"/>
      <w:r w:rsidRPr="00241066">
        <w:rPr>
          <w:rStyle w:val="Strong"/>
          <w:rFonts w:cs="Arial"/>
          <w:b w:val="0"/>
          <w:bCs w:val="0"/>
        </w:rPr>
        <w:t>, as charted below. However, single-family housing starts are down 25% compared to December 2021.</w:t>
      </w:r>
    </w:p>
    <w:p w14:paraId="3AE7A8B5" w14:textId="77777777" w:rsidR="00241066" w:rsidRPr="00241066" w:rsidRDefault="00241066" w:rsidP="00241066">
      <w:pPr>
        <w:pStyle w:val="NoSpacing"/>
        <w:rPr>
          <w:rStyle w:val="Strong"/>
          <w:rFonts w:cs="Arial"/>
          <w:b w:val="0"/>
          <w:bCs w:val="0"/>
        </w:rPr>
      </w:pPr>
    </w:p>
    <w:p w14:paraId="643FFCF2" w14:textId="77777777" w:rsidR="00241066" w:rsidRPr="00241066" w:rsidRDefault="00241066" w:rsidP="00241066">
      <w:pPr>
        <w:pStyle w:val="NoSpacing"/>
        <w:rPr>
          <w:rStyle w:val="Strong"/>
          <w:rFonts w:cs="Arial"/>
          <w:b w:val="0"/>
          <w:bCs w:val="0"/>
        </w:rPr>
      </w:pPr>
      <w:r w:rsidRPr="00241066">
        <w:rPr>
          <w:rStyle w:val="Strong"/>
          <w:rFonts w:cs="Arial"/>
          <w:b w:val="0"/>
          <w:bCs w:val="0"/>
        </w:rPr>
        <w:t xml:space="preserve">The multifamily sector, which includes for-rent apartment buildings and condos, decreased 19% to a 473,000 pace for 2+ unit construction in December. The three-month moving average for multifamily </w:t>
      </w:r>
      <w:r w:rsidRPr="00241066">
        <w:rPr>
          <w:rStyle w:val="Strong"/>
          <w:rFonts w:cs="Arial"/>
          <w:b w:val="0"/>
          <w:bCs w:val="0"/>
        </w:rPr>
        <w:lastRenderedPageBreak/>
        <w:t>construction has been a solid 541,000-unit annual rate. One a year-over-year basis, multifamily construction is down 14.9%.</w:t>
      </w:r>
    </w:p>
    <w:p w14:paraId="05D7BDEA" w14:textId="77777777" w:rsidR="00241066" w:rsidRPr="00241066" w:rsidRDefault="00241066" w:rsidP="00241066">
      <w:pPr>
        <w:pStyle w:val="NoSpacing"/>
        <w:rPr>
          <w:rStyle w:val="Strong"/>
          <w:rFonts w:cs="Arial"/>
          <w:b w:val="0"/>
          <w:bCs w:val="0"/>
        </w:rPr>
      </w:pPr>
    </w:p>
    <w:p w14:paraId="707896FF" w14:textId="4F48C565" w:rsidR="00241066" w:rsidRPr="00241066" w:rsidRDefault="00241066" w:rsidP="00241066">
      <w:pPr>
        <w:pStyle w:val="NoSpacing"/>
        <w:rPr>
          <w:rStyle w:val="Strong"/>
          <w:rFonts w:cs="Arial"/>
          <w:b w:val="0"/>
          <w:bCs w:val="0"/>
        </w:rPr>
      </w:pPr>
      <w:r>
        <w:rPr>
          <w:noProof/>
        </w:rPr>
        <w:drawing>
          <wp:inline distT="0" distB="0" distL="0" distR="0" wp14:anchorId="6F98DF07" wp14:editId="57697C59">
            <wp:extent cx="3955509" cy="2225327"/>
            <wp:effectExtent l="0" t="0" r="6985" b="381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602" cy="2236068"/>
                    </a:xfrm>
                    <a:prstGeom prst="rect">
                      <a:avLst/>
                    </a:prstGeom>
                    <a:noFill/>
                    <a:ln>
                      <a:noFill/>
                    </a:ln>
                  </pic:spPr>
                </pic:pic>
              </a:graphicData>
            </a:graphic>
          </wp:inline>
        </w:drawing>
      </w:r>
    </w:p>
    <w:p w14:paraId="5D459AEA" w14:textId="77777777" w:rsidR="00241066" w:rsidRPr="00241066" w:rsidRDefault="00241066" w:rsidP="00241066">
      <w:pPr>
        <w:pStyle w:val="NoSpacing"/>
        <w:rPr>
          <w:rStyle w:val="Strong"/>
          <w:rFonts w:cs="Arial"/>
          <w:b w:val="0"/>
          <w:bCs w:val="0"/>
        </w:rPr>
      </w:pPr>
      <w:r w:rsidRPr="00241066">
        <w:rPr>
          <w:rStyle w:val="Strong"/>
          <w:rFonts w:cs="Arial"/>
          <w:b w:val="0"/>
          <w:bCs w:val="0"/>
        </w:rPr>
        <w:t>Total housing starts for 2022 were 1.55 million, a 3% decline from the 1.60 million total from 2021. Single-family starts in 2022 totaled 1.01 million, down 10.6% from the previous year. Multifamily starts (2+) in 2022 were up 15.1% compared to the previous year and exceeded a 500,000 annual pace for the first time since the Great Recession.</w:t>
      </w:r>
    </w:p>
    <w:p w14:paraId="5254DA99" w14:textId="77777777" w:rsidR="00241066" w:rsidRPr="00241066" w:rsidRDefault="00241066" w:rsidP="00241066">
      <w:pPr>
        <w:pStyle w:val="NoSpacing"/>
        <w:rPr>
          <w:rStyle w:val="Strong"/>
          <w:rFonts w:cs="Arial"/>
          <w:b w:val="0"/>
          <w:bCs w:val="0"/>
        </w:rPr>
      </w:pPr>
    </w:p>
    <w:p w14:paraId="1C530663" w14:textId="77777777" w:rsidR="00241066" w:rsidRPr="00241066" w:rsidRDefault="00241066" w:rsidP="00241066">
      <w:pPr>
        <w:pStyle w:val="NoSpacing"/>
        <w:rPr>
          <w:rStyle w:val="Strong"/>
          <w:rFonts w:cs="Arial"/>
          <w:b w:val="0"/>
          <w:bCs w:val="0"/>
        </w:rPr>
      </w:pPr>
      <w:r w:rsidRPr="00241066">
        <w:rPr>
          <w:rStyle w:val="Strong"/>
          <w:rFonts w:cs="Arial"/>
          <w:b w:val="0"/>
          <w:bCs w:val="0"/>
        </w:rPr>
        <w:t>On a regional and year-to-year basis, combined single-family and multifamily starts are 5% higher in the Northeast, 5.7% lower in the Midwest, 1.6% lower in the South and 7.2% lower in the West.</w:t>
      </w:r>
    </w:p>
    <w:p w14:paraId="3828BF89" w14:textId="77777777" w:rsidR="00241066" w:rsidRPr="00241066" w:rsidRDefault="00241066" w:rsidP="00241066">
      <w:pPr>
        <w:pStyle w:val="NoSpacing"/>
        <w:rPr>
          <w:rStyle w:val="Strong"/>
          <w:rFonts w:cs="Arial"/>
          <w:b w:val="0"/>
          <w:bCs w:val="0"/>
        </w:rPr>
      </w:pPr>
    </w:p>
    <w:p w14:paraId="153EADCB" w14:textId="3D198D1D" w:rsidR="00241066" w:rsidRPr="00241066" w:rsidRDefault="00241066" w:rsidP="00241066">
      <w:pPr>
        <w:pStyle w:val="NoSpacing"/>
        <w:rPr>
          <w:rStyle w:val="Strong"/>
          <w:rFonts w:cs="Arial"/>
          <w:b w:val="0"/>
          <w:bCs w:val="0"/>
        </w:rPr>
      </w:pPr>
      <w:r>
        <w:rPr>
          <w:noProof/>
        </w:rPr>
        <w:drawing>
          <wp:inline distT="0" distB="0" distL="0" distR="0" wp14:anchorId="19D40575" wp14:editId="6CE8B329">
            <wp:extent cx="4030074" cy="2267276"/>
            <wp:effectExtent l="0" t="0" r="889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2678" cy="2279993"/>
                    </a:xfrm>
                    <a:prstGeom prst="rect">
                      <a:avLst/>
                    </a:prstGeom>
                    <a:noFill/>
                    <a:ln>
                      <a:noFill/>
                    </a:ln>
                  </pic:spPr>
                </pic:pic>
              </a:graphicData>
            </a:graphic>
          </wp:inline>
        </w:drawing>
      </w:r>
    </w:p>
    <w:p w14:paraId="209DEEB5" w14:textId="77777777" w:rsidR="00241066" w:rsidRPr="00241066" w:rsidRDefault="00241066" w:rsidP="00241066">
      <w:pPr>
        <w:pStyle w:val="NoSpacing"/>
        <w:rPr>
          <w:rStyle w:val="Strong"/>
          <w:rFonts w:cs="Arial"/>
          <w:b w:val="0"/>
          <w:bCs w:val="0"/>
        </w:rPr>
      </w:pPr>
      <w:r w:rsidRPr="00241066">
        <w:rPr>
          <w:rStyle w:val="Strong"/>
          <w:rFonts w:cs="Arial"/>
          <w:b w:val="0"/>
          <w:bCs w:val="0"/>
        </w:rPr>
        <w:t xml:space="preserve">As an indicator of the economic impact of housing, there are now 769,000 single-family homes under construction. This is 0.1% lower than a year ago. There are currently 943,000 apartments under construction, up 24.9% compared to a year ago (755,000). Total housing units now under construction (single-family and multifamily combined) </w:t>
      </w:r>
      <w:proofErr w:type="gramStart"/>
      <w:r w:rsidRPr="00241066">
        <w:rPr>
          <w:rStyle w:val="Strong"/>
          <w:rFonts w:cs="Arial"/>
          <w:b w:val="0"/>
          <w:bCs w:val="0"/>
        </w:rPr>
        <w:t>is</w:t>
      </w:r>
      <w:proofErr w:type="gramEnd"/>
      <w:r w:rsidRPr="00241066">
        <w:rPr>
          <w:rStyle w:val="Strong"/>
          <w:rFonts w:cs="Arial"/>
          <w:b w:val="0"/>
          <w:bCs w:val="0"/>
        </w:rPr>
        <w:t xml:space="preserve"> 12.3% higher than a year ago.</w:t>
      </w:r>
    </w:p>
    <w:p w14:paraId="65DB64CD" w14:textId="77777777" w:rsidR="00241066" w:rsidRPr="00241066" w:rsidRDefault="00241066" w:rsidP="00241066">
      <w:pPr>
        <w:pStyle w:val="NoSpacing"/>
        <w:rPr>
          <w:rStyle w:val="Strong"/>
          <w:rFonts w:cs="Arial"/>
          <w:b w:val="0"/>
          <w:bCs w:val="0"/>
        </w:rPr>
      </w:pPr>
    </w:p>
    <w:p w14:paraId="2CB6FE84" w14:textId="77777777" w:rsidR="00241066" w:rsidRPr="00241066" w:rsidRDefault="00241066" w:rsidP="00241066">
      <w:pPr>
        <w:pStyle w:val="NoSpacing"/>
        <w:rPr>
          <w:rStyle w:val="Strong"/>
          <w:rFonts w:cs="Arial"/>
          <w:b w:val="0"/>
          <w:bCs w:val="0"/>
        </w:rPr>
      </w:pPr>
      <w:r w:rsidRPr="00241066">
        <w:rPr>
          <w:rStyle w:val="Strong"/>
          <w:rFonts w:cs="Arial"/>
          <w:b w:val="0"/>
          <w:bCs w:val="0"/>
        </w:rPr>
        <w:t xml:space="preserve">Overall permits decreased 1.6% to a </w:t>
      </w:r>
      <w:proofErr w:type="gramStart"/>
      <w:r w:rsidRPr="00241066">
        <w:rPr>
          <w:rStyle w:val="Strong"/>
          <w:rFonts w:cs="Arial"/>
          <w:b w:val="0"/>
          <w:bCs w:val="0"/>
        </w:rPr>
        <w:t>1.33 million unit</w:t>
      </w:r>
      <w:proofErr w:type="gramEnd"/>
      <w:r w:rsidRPr="00241066">
        <w:rPr>
          <w:rStyle w:val="Strong"/>
          <w:rFonts w:cs="Arial"/>
          <w:b w:val="0"/>
          <w:bCs w:val="0"/>
        </w:rPr>
        <w:t xml:space="preserve"> annualized rate in December and are down 29.9% compared to December 2021. Single-family permits decreased 6.5% to a </w:t>
      </w:r>
      <w:proofErr w:type="gramStart"/>
      <w:r w:rsidRPr="00241066">
        <w:rPr>
          <w:rStyle w:val="Strong"/>
          <w:rFonts w:cs="Arial"/>
          <w:b w:val="0"/>
          <w:bCs w:val="0"/>
        </w:rPr>
        <w:t>730,000 unit</w:t>
      </w:r>
      <w:proofErr w:type="gramEnd"/>
      <w:r w:rsidRPr="00241066">
        <w:rPr>
          <w:rStyle w:val="Strong"/>
          <w:rFonts w:cs="Arial"/>
          <w:b w:val="0"/>
          <w:bCs w:val="0"/>
        </w:rPr>
        <w:t xml:space="preserve"> rate and are down 34.7% compared to December 2021. Multifamily permits increased 5.3% to a </w:t>
      </w:r>
      <w:proofErr w:type="gramStart"/>
      <w:r w:rsidRPr="00241066">
        <w:rPr>
          <w:rStyle w:val="Strong"/>
          <w:rFonts w:cs="Arial"/>
          <w:b w:val="0"/>
          <w:bCs w:val="0"/>
        </w:rPr>
        <w:t>600,000 unit</w:t>
      </w:r>
      <w:proofErr w:type="gramEnd"/>
      <w:r w:rsidRPr="00241066">
        <w:rPr>
          <w:rStyle w:val="Strong"/>
          <w:rFonts w:cs="Arial"/>
          <w:b w:val="0"/>
          <w:bCs w:val="0"/>
        </w:rPr>
        <w:t xml:space="preserve"> pace.</w:t>
      </w:r>
    </w:p>
    <w:p w14:paraId="034ED2F7" w14:textId="77777777" w:rsidR="00241066" w:rsidRPr="00241066" w:rsidRDefault="00241066" w:rsidP="00241066">
      <w:pPr>
        <w:pStyle w:val="NoSpacing"/>
        <w:rPr>
          <w:rStyle w:val="Strong"/>
          <w:rFonts w:cs="Arial"/>
          <w:b w:val="0"/>
          <w:bCs w:val="0"/>
        </w:rPr>
      </w:pPr>
    </w:p>
    <w:p w14:paraId="02000C60" w14:textId="77777777" w:rsidR="00241066" w:rsidRPr="00241066" w:rsidRDefault="00241066" w:rsidP="00241066">
      <w:pPr>
        <w:pStyle w:val="NoSpacing"/>
        <w:rPr>
          <w:rStyle w:val="Strong"/>
          <w:rFonts w:cs="Arial"/>
          <w:b w:val="0"/>
          <w:bCs w:val="0"/>
        </w:rPr>
      </w:pPr>
      <w:r w:rsidRPr="00241066">
        <w:rPr>
          <w:rStyle w:val="Strong"/>
          <w:rFonts w:cs="Arial"/>
          <w:b w:val="0"/>
          <w:bCs w:val="0"/>
        </w:rPr>
        <w:lastRenderedPageBreak/>
        <w:t xml:space="preserve">Total permits for 2022 were 1.65 million units, a 5% decline from the </w:t>
      </w:r>
      <w:proofErr w:type="gramStart"/>
      <w:r w:rsidRPr="00241066">
        <w:rPr>
          <w:rStyle w:val="Strong"/>
          <w:rFonts w:cs="Arial"/>
          <w:b w:val="0"/>
          <w:bCs w:val="0"/>
        </w:rPr>
        <w:t>1.74 million unit</w:t>
      </w:r>
      <w:proofErr w:type="gramEnd"/>
      <w:r w:rsidRPr="00241066">
        <w:rPr>
          <w:rStyle w:val="Strong"/>
          <w:rFonts w:cs="Arial"/>
          <w:b w:val="0"/>
          <w:bCs w:val="0"/>
        </w:rPr>
        <w:t xml:space="preserve"> total from 2021. Single-family permits in 2022 totaled </w:t>
      </w:r>
      <w:proofErr w:type="gramStart"/>
      <w:r w:rsidRPr="00241066">
        <w:rPr>
          <w:rStyle w:val="Strong"/>
          <w:rFonts w:cs="Arial"/>
          <w:b w:val="0"/>
          <w:bCs w:val="0"/>
        </w:rPr>
        <w:t>972,000 unit</w:t>
      </w:r>
      <w:proofErr w:type="gramEnd"/>
      <w:r w:rsidRPr="00241066">
        <w:rPr>
          <w:rStyle w:val="Strong"/>
          <w:rFonts w:cs="Arial"/>
          <w:b w:val="0"/>
          <w:bCs w:val="0"/>
        </w:rPr>
        <w:t xml:space="preserve"> rate, down 12.9% from the previous year. Multifamily permits in 2022 were up 9.0% compared to the previous year.</w:t>
      </w:r>
    </w:p>
    <w:p w14:paraId="56E76CA8" w14:textId="77777777" w:rsidR="00241066" w:rsidRPr="00241066" w:rsidRDefault="00241066" w:rsidP="00241066">
      <w:pPr>
        <w:pStyle w:val="NoSpacing"/>
        <w:rPr>
          <w:rStyle w:val="Strong"/>
          <w:rFonts w:cs="Arial"/>
          <w:b w:val="0"/>
          <w:bCs w:val="0"/>
        </w:rPr>
      </w:pPr>
    </w:p>
    <w:p w14:paraId="430D0BE4" w14:textId="07405933" w:rsidR="00241066" w:rsidRPr="00241066" w:rsidRDefault="00241066" w:rsidP="00241066">
      <w:pPr>
        <w:pStyle w:val="NoSpacing"/>
        <w:rPr>
          <w:rStyle w:val="Strong"/>
          <w:rFonts w:cs="Arial"/>
          <w:b w:val="0"/>
          <w:bCs w:val="0"/>
        </w:rPr>
      </w:pPr>
      <w:r w:rsidRPr="00241066">
        <w:rPr>
          <w:rStyle w:val="Strong"/>
          <w:rFonts w:cs="Arial"/>
          <w:b w:val="0"/>
          <w:bCs w:val="0"/>
        </w:rPr>
        <w:t>Looking at regional permit data on a year-to-year basis, permits are 13.6% lower in the Northeast, 3.4% lower in the Midwest, 2.4% lower in the South and 8.3% lower in the West.</w:t>
      </w:r>
    </w:p>
    <w:p w14:paraId="5D7B9E09" w14:textId="6A6A95BC" w:rsidR="00241066" w:rsidRPr="00241066" w:rsidRDefault="00241066" w:rsidP="00241066">
      <w:pPr>
        <w:pStyle w:val="NoSpacing"/>
        <w:rPr>
          <w:rStyle w:val="Strong"/>
          <w:rFonts w:cs="Arial"/>
          <w:b w:val="0"/>
          <w:bCs w:val="0"/>
        </w:rPr>
      </w:pPr>
    </w:p>
    <w:p w14:paraId="15FF3EAB" w14:textId="7C13D2C6" w:rsidR="00241066" w:rsidRPr="00241066" w:rsidRDefault="00241066" w:rsidP="00241066">
      <w:pPr>
        <w:pStyle w:val="NoSpacing"/>
        <w:rPr>
          <w:rStyle w:val="Strong"/>
          <w:rFonts w:cs="Arial"/>
          <w:b w:val="0"/>
          <w:bCs w:val="0"/>
        </w:rPr>
      </w:pPr>
    </w:p>
    <w:p w14:paraId="1F8A0006" w14:textId="77777777" w:rsidR="00241066" w:rsidRPr="00241066" w:rsidRDefault="00241066" w:rsidP="00241066">
      <w:pPr>
        <w:pStyle w:val="NoSpacing"/>
        <w:rPr>
          <w:rStyle w:val="Strong"/>
          <w:rFonts w:cs="Arial"/>
          <w:b w:val="0"/>
          <w:bCs w:val="0"/>
        </w:rPr>
      </w:pPr>
    </w:p>
    <w:sectPr w:rsidR="00241066" w:rsidRPr="00241066" w:rsidSect="00D5492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424D" w14:textId="77777777" w:rsidR="006913DE" w:rsidRDefault="006913DE" w:rsidP="008F1359">
      <w:pPr>
        <w:spacing w:after="0" w:line="240" w:lineRule="auto"/>
      </w:pPr>
      <w:r>
        <w:separator/>
      </w:r>
    </w:p>
  </w:endnote>
  <w:endnote w:type="continuationSeparator" w:id="0">
    <w:p w14:paraId="2CD85B72" w14:textId="77777777" w:rsidR="006913DE" w:rsidRDefault="006913DE"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FD4E" w14:textId="77777777" w:rsidR="006913DE" w:rsidRDefault="006913DE" w:rsidP="008F1359">
      <w:pPr>
        <w:spacing w:after="0" w:line="240" w:lineRule="auto"/>
      </w:pPr>
      <w:r>
        <w:separator/>
      </w:r>
    </w:p>
  </w:footnote>
  <w:footnote w:type="continuationSeparator" w:id="0">
    <w:p w14:paraId="5E03435C" w14:textId="77777777" w:rsidR="006913DE" w:rsidRDefault="006913DE"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2221">
    <w:abstractNumId w:val="30"/>
  </w:num>
  <w:num w:numId="2" w16cid:durableId="18506970">
    <w:abstractNumId w:val="18"/>
  </w:num>
  <w:num w:numId="3" w16cid:durableId="1216813674">
    <w:abstractNumId w:val="22"/>
  </w:num>
  <w:num w:numId="4" w16cid:durableId="295843803">
    <w:abstractNumId w:val="12"/>
  </w:num>
  <w:num w:numId="5" w16cid:durableId="131290114">
    <w:abstractNumId w:val="4"/>
  </w:num>
  <w:num w:numId="6" w16cid:durableId="1309357614">
    <w:abstractNumId w:val="19"/>
  </w:num>
  <w:num w:numId="7" w16cid:durableId="1862012518">
    <w:abstractNumId w:val="8"/>
  </w:num>
  <w:num w:numId="8" w16cid:durableId="2137522268">
    <w:abstractNumId w:val="31"/>
  </w:num>
  <w:num w:numId="9" w16cid:durableId="963118425">
    <w:abstractNumId w:val="24"/>
  </w:num>
  <w:num w:numId="10" w16cid:durableId="115612215">
    <w:abstractNumId w:val="14"/>
  </w:num>
  <w:num w:numId="11" w16cid:durableId="202443423">
    <w:abstractNumId w:val="9"/>
  </w:num>
  <w:num w:numId="12" w16cid:durableId="748694560">
    <w:abstractNumId w:val="15"/>
  </w:num>
  <w:num w:numId="13" w16cid:durableId="2116830253">
    <w:abstractNumId w:val="6"/>
  </w:num>
  <w:num w:numId="14" w16cid:durableId="2008901211">
    <w:abstractNumId w:val="16"/>
  </w:num>
  <w:num w:numId="15" w16cid:durableId="346175756">
    <w:abstractNumId w:val="10"/>
  </w:num>
  <w:num w:numId="16" w16cid:durableId="503597154">
    <w:abstractNumId w:val="17"/>
  </w:num>
  <w:num w:numId="17" w16cid:durableId="28341228">
    <w:abstractNumId w:val="7"/>
  </w:num>
  <w:num w:numId="18" w16cid:durableId="521675855">
    <w:abstractNumId w:val="1"/>
  </w:num>
  <w:num w:numId="19" w16cid:durableId="1117872154">
    <w:abstractNumId w:val="5"/>
  </w:num>
  <w:num w:numId="20" w16cid:durableId="908924198">
    <w:abstractNumId w:val="26"/>
  </w:num>
  <w:num w:numId="21" w16cid:durableId="215823985">
    <w:abstractNumId w:val="28"/>
  </w:num>
  <w:num w:numId="22" w16cid:durableId="1648971348">
    <w:abstractNumId w:val="11"/>
  </w:num>
  <w:num w:numId="23" w16cid:durableId="753937682">
    <w:abstractNumId w:val="0"/>
  </w:num>
  <w:num w:numId="24" w16cid:durableId="2083024546">
    <w:abstractNumId w:val="3"/>
  </w:num>
  <w:num w:numId="25" w16cid:durableId="1179657861">
    <w:abstractNumId w:val="2"/>
  </w:num>
  <w:num w:numId="26" w16cid:durableId="1710184456">
    <w:abstractNumId w:val="13"/>
  </w:num>
  <w:num w:numId="27" w16cid:durableId="940986723">
    <w:abstractNumId w:val="23"/>
  </w:num>
  <w:num w:numId="28" w16cid:durableId="1175879490">
    <w:abstractNumId w:val="27"/>
  </w:num>
  <w:num w:numId="29" w16cid:durableId="1139687619">
    <w:abstractNumId w:val="20"/>
  </w:num>
  <w:num w:numId="30" w16cid:durableId="384182581">
    <w:abstractNumId w:val="21"/>
  </w:num>
  <w:num w:numId="31" w16cid:durableId="1599023983">
    <w:abstractNumId w:val="25"/>
  </w:num>
  <w:num w:numId="32" w16cid:durableId="137030301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2C8B"/>
    <w:rsid w:val="000B5FFD"/>
    <w:rsid w:val="000B7025"/>
    <w:rsid w:val="000C00B7"/>
    <w:rsid w:val="000C59AA"/>
    <w:rsid w:val="000D1E98"/>
    <w:rsid w:val="000D5975"/>
    <w:rsid w:val="000D6BF0"/>
    <w:rsid w:val="000D6DB1"/>
    <w:rsid w:val="000E0916"/>
    <w:rsid w:val="000E110C"/>
    <w:rsid w:val="000E13B1"/>
    <w:rsid w:val="000E1CD6"/>
    <w:rsid w:val="000E362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1CD"/>
    <w:rsid w:val="00164B32"/>
    <w:rsid w:val="00170C2D"/>
    <w:rsid w:val="00171D63"/>
    <w:rsid w:val="00173EA0"/>
    <w:rsid w:val="00182FF8"/>
    <w:rsid w:val="001868FD"/>
    <w:rsid w:val="00186E9B"/>
    <w:rsid w:val="00187351"/>
    <w:rsid w:val="0019142D"/>
    <w:rsid w:val="00192A07"/>
    <w:rsid w:val="00195DF2"/>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1066"/>
    <w:rsid w:val="00244F89"/>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F0EDF"/>
    <w:rsid w:val="009F1170"/>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ED8"/>
    <w:rsid w:val="00A40F48"/>
    <w:rsid w:val="00A41925"/>
    <w:rsid w:val="00A43C2A"/>
    <w:rsid w:val="00A47180"/>
    <w:rsid w:val="00A50F42"/>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styleId="UnresolvedMention">
    <w:name w:val="Unresolved Mention"/>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8B95-3078-4F86-BADC-6785A8A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2023-01-24T15:26:00Z</dcterms:created>
  <dcterms:modified xsi:type="dcterms:W3CDTF">2023-01-25T18:26:00Z</dcterms:modified>
</cp:coreProperties>
</file>